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sclerophylla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2:139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New Holland [along the Murray River near junction with Loddon River at Swan Hill, Vic.], 20 June 1836, T. Mitchell '182' (CGE); isotypes: K (left-hand specimen), MEL,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(var.longifolia, var.pilosa, var.sclerophylla, var.teretiuscula)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sclerophyllum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sclerophyllum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