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rendlei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51:241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Fraser Range, W.A., 2 Nov. 1891, R. Helms s.n. (NSW); isotypes: MEL, PERTH (fragment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11A: 549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rendlei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rendlei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rendlei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rendlei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