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heteroneura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26:624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south-west W.A., 1849, J. Drummond 24: 138 (K); isotypes: MEL,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365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(var.heteroneura, var.jutsonii, var.petila, var.prolixa)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heteroneurum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heteroneurum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