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coriacea</w:t>
      </w:r>
      <w:r>
        <w:t xml:space="preserve">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2:451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 1993: 84): Western Australia (sphalm. 'Nouvelle Holland. cote orient.'), [June-July 1801, N.Baudin Expedition] (G-DC - fruiting specimen); isolectotypes: K, P. Remaining syntypes: flowering specimen on type sheet (G-DC, P)</w:t>
      </w:r>
      <w:proofErr w:type="spellEnd"/>
      <w:r w:rsidRPr="009A6983">
        <w:rPr>
          <w:b/>
        </w:rPr>
        <w:t xml:space="preserve"> Source:</w:t>
      </w:r>
      <w:r>
        <w:t xml:space="preserve"> Fl. Australia 11B: 103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Candolle in Mem. Legum. pt 8, 446 (1827).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(subsp.coriacea, subsp.pendens)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coriacea</w:t>
      </w:r>
      <w:r w:rsidR="00041308">
        <w:t xml:space="preserve"> var.</w:t>
      </w:r>
      <w:r w:rsidR="00041308" w:rsidRPr="00815E7D">
        <w:rPr>
          <w:i/>
        </w:rPr>
        <w:t xml:space="preserve"> coriacea</w:t>
      </w:r>
      <w:r>
        <w:t xml:space="preserve"> DC.</w:t>
      </w:r>
      <w:r>
        <w:t xml:space="preserve"> (1920)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coriaceum</w:t>
      </w:r>
      <w:r>
        <w:t xml:space="preserve"> (DC.) Pedley</w:t>
      </w:r>
      <w:r>
        <w:t xml:space="preserve"> (1986)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coriacea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coriacea</w:t>
      </w:r>
      <w:proofErr w:type="spellEnd"/>
      <w:r>
        <w:t xml:space="preserve"> DC.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7(4):154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coriacea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coriaceum</w:t>
      </w:r>
      <w:r>
        <w:t xml:space="preserve"> (DC.) Pedley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92:248</w:t>
      </w:r>
      <w:proofErr w:type="spellEnd"/>
      <w:r w:rsidR="00780DEE">
        <w:t xml:space="preserve"> (1986)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coriacea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coriacea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