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1978: 288): Bay 1 [Lucky Bay, E of Esperance], W.A., Jan. 1802, R. Brown (BM, [Britten no.] 4309); isolectotype: BM, E, K [superfluously relectotypified in B.R. Maslin &amp; R.S. Cowan, Nuytsia 10: 113 (1995)]</w:t>
      </w:r>
      <w:proofErr w:type="spellEnd"/>
      <w:r w:rsidRPr="009A6983">
        <w:rPr>
          <w:b/>
        </w:rPr>
        <w:t xml:space="preserve"> Source:</w:t>
      </w:r>
      <w:r>
        <w:t xml:space="preserve"> Fl. Australia 11A: 502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biflora</w:t>
      </w:r>
      <w:r w:rsidR="00041308">
        <w:t xml:space="preserve"> var.</w:t>
      </w:r>
      <w:r w:rsidR="00041308" w:rsidRPr="00815E7D">
        <w:rPr>
          <w:i/>
        </w:rPr>
        <w:t xml:space="preserve"> biflora</w:t>
      </w:r>
      <w:r>
        <w:t xml:space="preserve"> R.Br.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biflorum</w:t>
      </w:r>
      <w:r>
        <w:t xml:space="preserve"> (R.Br.)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biflora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triangularis</w:t>
      </w:r>
      <w:r>
        <w:t xml:space="preserve"> Benth.</w:t>
      </w:r>
      <w:r>
        <w:t xml:space="preserve"> (1837)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biflora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biflora var. aurea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biflorum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biflora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biflora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triangularis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F.A. Bauer, ex herb. Vind. 1837 (K); isotype: W</w:t>
      </w:r>
      <w:proofErr w:type="spellEnd"/>
      <w:r w:rsidRPr="009A6983">
        <w:rPr>
          <w:b/>
        </w:rPr>
        <w:t xml:space="preserve"> Source:</w:t>
      </w:r>
      <w:r>
        <w:t xml:space="preserve"> Fl. Australia 11A: 502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