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spirorbis</w:t>
      </w:r>
      <w:r>
        <w:t xml:space="preserve"> Labill.</w:t>
      </w:r>
      <w:r w:rsidR="00780DEE" w:rsidRPr="00780DEE">
        <w:rPr>
          <w:i/>
        </w:rPr>
        <w:t xml:space="preserve"> Sert. Austro. Caledon.</w:t>
      </w:r>
      <w:proofErr w:type="spellStart"/>
      <w:r w:rsidR="00780DEE">
        <w:t xml:space="preserve"> 69: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New Caledonia, Labillardiere (iso: G(?), K, P)</w:t>
      </w:r>
      <w:proofErr w:type="spellEnd"/>
      <w:r w:rsidRPr="009A6983">
        <w:rPr>
          <w:b/>
        </w:rPr>
        <w:t xml:space="preserve"> Source:</w:t>
      </w:r>
      <w:r>
        <w:t xml:space="preserve"> Pedley (1975: 20)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PACIFIC OCEAN [N]: New Caledonia, Vanuatu. SOUTHEAST ASIA [N]: Papua New Guinea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(subsp.solandri, subsp.spirorbis)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spirorbe</w:t>
      </w:r>
      <w:r>
        <w:t xml:space="preserve"> (Labill.)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spirorbe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r>
        <w:t xml:space="preserve"> Labill.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spirorbis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