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curassavica</w:t>
      </w:r>
      <w:r>
        <w:t xml:space="preserve"> (Britton &amp; Killip) Stehlé</w:t>
      </w:r>
      <w:r w:rsidR="00780DEE" w:rsidRPr="00780DEE">
        <w:rPr>
          <w:i/>
        </w:rPr>
        <w:t xml:space="preserve"> Bull. Mus. Natl. Hist. Nat., sér. 2</w:t>
      </w:r>
      <w:proofErr w:type="spellStart"/>
      <w:r w:rsidR="00780DEE">
        <w:t xml:space="preserve"> 18:191</w:t>
      </w:r>
      <w:proofErr w:type="spellEnd"/>
      <w:r w:rsidR="00780DEE">
        <w:t xml:space="preserve"> (1946)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glauca</w:t>
      </w:r>
      <w:proofErr w:type="spellEnd"/>
      <w:r>
        <w:t xml:space="preserve"> (L.)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curassavica</w:t>
      </w:r>
      <w:r>
        <w:t xml:space="preserve"> Britton &amp; Killip ex Killip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