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daviesii</w:t>
      </w:r>
      <w:r>
        <w:t xml:space="preserve"> Bartolome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15(4):472-474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"Victoria, Eastern highlands, c. 21 km SE of Mansfield, M.Bartolome 241, 14 Oct. 2000; (holotype: MEL; isotype: CANB)"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daviesii</w:t>
      </w:r>
      <w:r>
        <w:t xml:space="preserve"> (Bartolome)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daviesii</w:t>
      </w:r>
      <w:r>
        <w:t xml:space="preserve"> (Bartolome)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daviesii</w:t>
      </w:r>
      <w:proofErr w:type="spellEnd"/>
      <w:r>
        <w:t xml:space="preserve"> Bartolome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daviesii</w:t>
      </w:r>
      <w:r>
        <w:t xml:space="preserve"> Bartolome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