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sinuata</w:t>
      </w:r>
      <w:r>
        <w:t xml:space="preserve"> (Lour.) Merr.</w:t>
      </w:r>
      <w:r w:rsidR="00780DEE" w:rsidRPr="00780DEE">
        <w:rPr>
          <w:i/>
        </w:rPr>
        <w:t xml:space="preserve"> Trans. Amer. Philos. Soc., n.s.</w:t>
      </w:r>
      <w:proofErr w:type="spellStart"/>
      <w:r w:rsidR="00780DEE">
        <w:t xml:space="preserve"> 24(2):186</w:t>
      </w:r>
      <w:proofErr w:type="spellEnd"/>
      <w:r w:rsidR="00780DEE">
        <w:t xml:space="preserve"> (1935)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Maslin et al. (2019: 437)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Jacques (1860).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sinuata</w:t>
      </w:r>
      <w:r>
        <w:t xml:space="preserve"> Lour.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