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subulata</w:t>
      </w:r>
      <w:r>
        <w:t xml:space="preserve"> Bonpl.</w:t>
      </w:r>
      <w:r w:rsidR="00780DEE" w:rsidRPr="00780DEE">
        <w:rPr>
          <w:i/>
        </w:rPr>
        <w:t xml:space="preserve"> Descr. Pl. Malmaison</w:t>
      </w:r>
      <w:proofErr w:type="spellStart"/>
      <w:r w:rsidR="00780DEE">
        <w:t xml:space="preserve"> :110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Nova Hollandia"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not seen</w:t>
      </w:r>
      <w:proofErr w:type="spellEnd"/>
      <w:r w:rsidRPr="009A6983">
        <w:rPr>
          <w:b/>
        </w:rPr>
        <w:t xml:space="preserve"> Source:</w:t>
      </w:r>
      <w:r>
        <w:t xml:space="preserve"> Fl. Australia 11A: 267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[I], New South Wales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subulatum</w:t>
      </w:r>
      <w:r>
        <w:t xml:space="preserve"> (Bonpl.)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subulatum</w:t>
      </w:r>
      <w:r>
        <w:t xml:space="preserve"> (Bonpl.)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subulata</w:t>
      </w:r>
      <w:proofErr w:type="spellEnd"/>
      <w:r>
        <w:t xml:space="preserve"> Bonpl.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subulata</w:t>
      </w:r>
      <w:r>
        <w:t xml:space="preserve"> Bonpl.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