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rivalis</w:t>
      </w:r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42:173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Hawker, S.A., 18 Oct. 1917, J.M .Black (AD); isotypes: AD, MEL</w:t>
      </w:r>
      <w:proofErr w:type="spellEnd"/>
      <w:r w:rsidRPr="009A6983">
        <w:rPr>
          <w:b/>
        </w:rPr>
        <w:t xml:space="preserve"> Source:</w:t>
      </w:r>
      <w:r>
        <w:t xml:space="preserve"> Fl. Australia 11A: 277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Recorded from near Broken Hill, N.S.W. by Jacobs and Pickard (1981: 150) but possibly not native there.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rivale</w:t>
      </w:r>
      <w:r>
        <w:t xml:space="preserve"> (J.M.Black)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rivularis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rivale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rivalis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rivalis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rivularis</w:t>
      </w:r>
      <w:r>
        <w:t xml:space="preserve"> J.M.Black</w:t>
      </w:r>
      <w:r w:rsidR="00780DEE" w:rsidRPr="00780DEE">
        <w:rPr>
          <w:i/>
        </w:rPr>
        <w:t xml:space="preserve"> The Plant List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rivalis</w:t>
      </w:r>
      <w:proofErr w:type="spellEnd"/>
      <w:r>
        <w:t xml:space="preserve"> J.M.Black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World Checklist of Selected Plant Families (WCSP (in review)), accessed via The Plant List. This is a spelling error for Acacia rivalis J.M.Black.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