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kerrii</w:t>
      </w:r>
      <w:proofErr w:type="spellEnd"/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397); Maslin (2012: 467)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K. Bunchuai &amp; B. Nimanong 1430, Thailand, Chiang Rai, Mae Suai, 25. 7. 1967 (holo-, K; iso-, BKF, C, P)."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Chiang Rai, Mae Suai, 25 July 1967, K. Bunchuai &amp; B. Nimanong 1430 (K [barcode K000791221]); isotypes: BKF 46294 [barcode SN080094], C [barcode C10011409], E [barcode E00318283], P - cited by Nielsen (1980: Nielsen (1981: 353) but not cited in Nielsen (1981: 68)</w:t>
      </w:r>
      <w:proofErr w:type="spellEnd"/>
      <w:r w:rsidRPr="009A6983">
        <w:rPr>
          <w:b/>
        </w:rPr>
        <w:t xml:space="preserve"> Source:</w:t>
      </w:r>
      <w:r>
        <w:t xml:space="preserve"> Maslin et al. (2019: 397); Maslin (2012: 467)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