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leucoclada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leucoclada</w:t>
      </w:r>
      <w:proofErr w:type="spellEnd"/>
      <w:r>
        <w:t xml:space="preserve"> Tindale</w:t>
      </w:r>
      <w:r w:rsidR="00780DEE" w:rsidRPr="00780DEE">
        <w:rPr>
          <w:i/>
        </w:rPr>
        <w:t xml:space="preserve"> Proc. Linn. Soc. New South Wales</w:t>
      </w:r>
      <w:proofErr w:type="spellStart"/>
      <w:r w:rsidR="00780DEE">
        <w:t xml:space="preserve"> 91:151</w:t>
      </w:r>
      <w:proofErr w:type="spellEnd"/>
      <w:r w:rsidR="00780DEE">
        <w:t xml:space="preserve"> (1966)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leucoclada subsp. argentifolia Tindale.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leucoclada</w:t>
      </w:r>
      <w:r>
        <w:t xml:space="preserve"> Tindale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leucocladum</w:t>
      </w:r>
      <w:r w:rsidR="00041308">
        <w:t xml:space="preserve"> subsp.</w:t>
      </w:r>
      <w:r w:rsidR="00041308" w:rsidRPr="00815E7D">
        <w:rPr>
          <w:i/>
        </w:rPr>
        <w:t xml:space="preserve"> leucocladum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leucocladum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leucocladum</w:t>
      </w:r>
      <w:proofErr w:type="spellEnd"/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2:351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11A: 231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leucoclada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leucoclada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leucoclada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