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flavescens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N.E. Coast, [A.] Cunningham [Percy Isle No. 1, Qld, 3–4 June 1819, A. Cunningham 318, see L. Pedley, Austrobaileya 1: 217 (1978)] (K);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147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Queensland. SOUTHEAST ASIA [C]: Papua New Guinea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flavescens</w:t>
      </w:r>
      <w:r w:rsidR="00041308">
        <w:t xml:space="preserve"> var.</w:t>
      </w:r>
      <w:r w:rsidR="00041308" w:rsidRPr="00815E7D">
        <w:rPr>
          <w:i/>
        </w:rPr>
        <w:t xml:space="preserve"> flavescens</w:t>
      </w:r>
      <w:r>
        <w:t xml:space="preserve"> A.Cunn. ex Benth.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flavescens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flavescens</w:t>
      </w:r>
      <w:r w:rsidR="00041308">
        <w:t xml:space="preserve"> var.</w:t>
      </w:r>
      <w:r w:rsidR="00041308" w:rsidRPr="00815E7D">
        <w:rPr>
          <w:i/>
        </w:rPr>
        <w:t xml:space="preserve"> nobilis</w:t>
      </w:r>
      <w:r>
        <w:t xml:space="preserve"> Domin</w:t>
      </w:r>
      <w:r>
        <w:t xml:space="preserve"> (1926)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flavescens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flavescens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flavescens</w:t>
      </w:r>
      <w:proofErr w:type="spellEnd"/>
      <w:r>
        <w:t xml:space="preserve"> A.Cunn. ex Benth.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flavescens var. nobilis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flavescens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147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flavescens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flavescens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flavescens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nobilis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1978: 217): savanna forest near Cape Grafton, Qld, Jan. 1910, K. Domin ‘5126’ (PR n.v.)</w:t>
      </w:r>
      <w:proofErr w:type="spellEnd"/>
      <w:r w:rsidRPr="009A6983">
        <w:rPr>
          <w:b/>
        </w:rPr>
        <w:t xml:space="preserve"> Source:</w:t>
      </w:r>
      <w:r>
        <w:t xml:space="preserve"> Fl. Australia 11B: 147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flavescens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147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flavescens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