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gunnii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1980: 241): Tasmania, R.C. Gunn 423, ex herb. Bentham (K); isolectotypes: MPU, NSW, PERTH, W. Remaining syntypes: (1) Vineyard, N.S.W., K. Hügel (K, W). (2) Argyle county, N.S.W., Apr. 1824, A. Cunningham s.n. (K). (3) Macquarie Range, N.S.W., A. Cunningham 407 (K)</w:t>
      </w:r>
      <w:proofErr w:type="spellEnd"/>
      <w:r w:rsidRPr="009A6983">
        <w:rPr>
          <w:b/>
        </w:rPr>
        <w:t xml:space="preserve"> Source:</w:t>
      </w:r>
      <w:r>
        <w:t xml:space="preserve"> Fl. Australia 11A: 469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South Australia, Tasmania,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gunnii</w:t>
      </w:r>
      <w:r w:rsidR="00041308">
        <w:t xml:space="preserve"> var.</w:t>
      </w:r>
      <w:r w:rsidR="00041308" w:rsidRPr="00815E7D">
        <w:rPr>
          <w:i/>
        </w:rPr>
        <w:t xml:space="preserve"> gunnii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gunnii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vomeriformis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gunnii</w:t>
      </w:r>
      <w:r w:rsidR="00041308">
        <w:t xml:space="preserve"> var.</w:t>
      </w:r>
      <w:r w:rsidR="00041308" w:rsidRPr="00815E7D">
        <w:rPr>
          <w:i/>
        </w:rPr>
        <w:t xml:space="preserve"> hirsutior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gunnii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gunnii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gunnii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gunnii var. hirsutior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gunnii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gunnii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vomeriformis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Banks of the Macquarie River, N.S.W., C. Fraser s.n.(K)</w:t>
      </w:r>
      <w:proofErr w:type="spellEnd"/>
      <w:r w:rsidRPr="009A6983">
        <w:rPr>
          <w:b/>
        </w:rPr>
        <w:t xml:space="preserve"> Source:</w:t>
      </w:r>
      <w:r>
        <w:t xml:space="preserve"> Fl. Australia 11A: 469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gunnii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hirsutior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Blue Mtns, N.S.W., C. Fraser (n.v.)</w:t>
      </w:r>
      <w:proofErr w:type="spellEnd"/>
      <w:r w:rsidRPr="009A6983">
        <w:rPr>
          <w:b/>
        </w:rPr>
        <w:t xml:space="preserve"> Source:</w:t>
      </w:r>
      <w:r>
        <w:t xml:space="preserve"> Fl. Australia 11A: 469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gunnii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gunnii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Tasmania, C. Stuart 6 (K)</w:t>
      </w:r>
      <w:proofErr w:type="spellEnd"/>
      <w:r w:rsidRPr="009A6983">
        <w:rPr>
          <w:b/>
        </w:rPr>
        <w:t xml:space="preserve"> Source:</w:t>
      </w:r>
      <w:r>
        <w:t xml:space="preserve"> Fl. Australia 11A: 469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