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lamprocarpa</w:t>
      </w:r>
      <w:r>
        <w:t xml:space="preserve"> O.Schwarz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24:86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"Port Darwin, Bleeser no. 456"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Darwin, N.T., A.C.A. Bleeser 456 (MEL - labelled, presumably in error, Nov. 1929; NSW - labelled Jan. 1927). Note: Holotype not seen, presumably originally at B but destroyed</w:t>
      </w:r>
      <w:proofErr w:type="spellEnd"/>
      <w:r w:rsidRPr="009A6983">
        <w:rPr>
          <w:b/>
        </w:rPr>
        <w:t xml:space="preserve"> Source:</w:t>
      </w:r>
      <w:r>
        <w:t xml:space="preserve"> McDonald &amp; Maslin (2000: 56)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synonym of Acacia aulacocarpa A.Cunn. ex Benth. in Fl. Australia 11B: 168 (2001).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lamprocarpum</w:t>
      </w:r>
      <w:r>
        <w:t xml:space="preserve"> (O.Schwarz)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lamprocarpum</w:t>
      </w:r>
      <w:r>
        <w:t xml:space="preserve"> (O.Schwarz)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lamprocarpa</w:t>
      </w:r>
      <w:proofErr w:type="spellEnd"/>
      <w:r>
        <w:t xml:space="preserve"> O.Schwarz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lamprocarpa</w:t>
      </w:r>
      <w:r>
        <w:t xml:space="preserve"> O.Schwarz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