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drummondii</w:t>
      </w:r>
      <w:proofErr w:type="spellEnd"/>
      <w:r>
        <w:t xml:space="preserve"> Lindl.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1(5):467-468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drummondii subsp. candolleana &amp; subsp. elegans in Maslin, Nuytsia 1(5): 467-468 (1975).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drummondii</w:t>
      </w:r>
      <w:r w:rsidR="00041308">
        <w:t xml:space="preserve"> var.</w:t>
      </w:r>
      <w:r w:rsidR="00041308" w:rsidRPr="00815E7D">
        <w:rPr>
          <w:i/>
        </w:rPr>
        <w:t xml:space="preserve"> drummondii</w:t>
      </w:r>
      <w:r>
        <w:t xml:space="preserve"> (Lindl.)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drummondii</w:t>
      </w:r>
      <w:proofErr w:type="spellEnd"/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drummondii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drummondii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