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californica</w:t>
      </w:r>
      <w:r>
        <w:t xml:space="preserve"> Brandegee</w:t>
      </w:r>
      <w:r w:rsidR="00780DEE" w:rsidRPr="00780DEE">
        <w:rPr>
          <w:i/>
        </w:rPr>
        <w:t xml:space="preserve"> Proc. Calif. Acad. Sci., ser. 2</w:t>
      </w:r>
      <w:proofErr w:type="spellStart"/>
      <w:r w:rsidR="00780DEE">
        <w:t xml:space="preserve"> 3:221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Lee et al. 1989): Mexico. Baja California Sur. La Palma, 31 Mar. 1892, T.S. Brandegee s.n. (UC)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