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roxburghii</w:t>
      </w:r>
      <w:r>
        <w:t xml:space="preserve"> Wight &amp; Arn.</w:t>
      </w:r>
      <w:r w:rsidR="00780DEE" w:rsidRPr="00780DEE">
        <w:rPr>
          <w:i/>
        </w:rPr>
        <w:t xml:space="preserve"> Prodr. Fl. Ind. Orient.</w:t>
      </w:r>
      <w:proofErr w:type="spellStart"/>
      <w:r w:rsidR="00780DEE">
        <w:t xml:space="preserve"> 1:276</w:t>
      </w:r>
      <w:proofErr w:type="spellEnd"/>
      <w:r w:rsidR="00780DEE">
        <w:t xml:space="preserve"> (1834)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Sanjappa (1992: 39); Chakrabarty &amp;amp; Gandopadhyay (1996: 609)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eburnea</w:t>
      </w:r>
      <w:proofErr w:type="spellEnd"/>
      <w:r>
        <w:t xml:space="preserve"> (L.f.) P.J.H.Hurter &amp; Mabb.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Many syntypes cited in protologue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Unresolved (Deshpande et al. 2019: 10)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