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balfourii</w:t>
      </w:r>
      <w:r>
        <w:t xml:space="preserve"> Woodrow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11:420-430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"... a middle-sized tree sesembling the bhabul raised from seed collected in Socotra by Dr. Balfour of Edinburgh and naturalized at Poona."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?Type: India, Maharashtra, Pune, Botanic Garden, Aug. 1897, rw coil. S.n. (CAL) - raised from seed collected in Sokotra by Balfour, Edinburgh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628)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Listed as  insufficiently known by Kyalangalilwa et al. (2013: 518) with the following comment: "Acacia balfouri G.M.Woodrow, J. Bombay Nat. Hist. Soc. 11: 420-430. 1898. - Type: not seen. This species is listed in Lock (1989), but not in Ross (1979); it is provisionally accepted in Roskov et al. (2005)." Chakrabarty and Gandopadhyay (1996: 628) include this species (as 'balfourie') in their treatment of Acacia of India, based on the type specimen only.</w:t>
      </w:r>
    </w:p>
    <w:p w:rsidR="009A6983" w:rsidRPr="009A6983" w:rsidRDefault="009A6983">
      <w:r>
        <w:rPr>
          <w:b/>
        </w:rPr>
        <w:t>Distribution:</w:t>
      </w:r>
      <w:r>
        <w:t xml:space="preserve"> AFRICA [N]: Socotra. INDIAN SUBCONTINENT [C]: India (Maharashtra)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