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polypodioides</w:t>
      </w:r>
      <w:r>
        <w:t xml:space="preserve"> Standl.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20:184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Mexico. Chiapas, Chiapa de Corzo, E.A. Goldman 1001 (US); isolectotype NY - fragment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