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cumingii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1:525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villosa</w:t>
      </w:r>
      <w:proofErr w:type="spellEnd"/>
      <w:r>
        <w:t xml:space="preserve"> (Sw.)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2006): "Panama et Columbia occidentalis”, 1831, H. Cuming 1242 (K); isolectotype: US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