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curassavica</w:t>
      </w:r>
      <w:r>
        <w:t xml:space="preserve"> Britton &amp; Killip ex Killip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24:47</w:t>
      </w:r>
      <w:proofErr w:type="spellEnd"/>
      <w:r w:rsidR="00780DEE">
        <w:t xml:space="preserve"> (1934)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glauca</w:t>
      </w:r>
      <w:proofErr w:type="spellEnd"/>
      <w:r>
        <w:t xml:space="preserve"> (L.)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Netherlands Antilles. Curaçao, limestone rocks near Willemstad, 20-27 March, 1913, N.L. Britton &amp; J.A. Shafer 2943 (NY); isotypes: U,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