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glauca</w:t>
      </w:r>
      <w:r>
        <w:t xml:space="preserve"> L.</w:t>
      </w:r>
      <w:r w:rsidR="00780DEE" w:rsidRPr="00780DEE">
        <w:rPr>
          <w:i/>
        </w:rPr>
        <w:t xml:space="preserve"> Sp. Pl.</w:t>
      </w:r>
      <w:proofErr w:type="spellStart"/>
      <w:r w:rsidR="00780DEE">
        <w:t xml:space="preserve"> 1:520</w:t>
      </w:r>
      <w:proofErr w:type="spellEnd"/>
      <w:r w:rsidR="00780DEE">
        <w:t xml:space="preserve"> (1753)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glauca</w:t>
      </w:r>
      <w:proofErr w:type="spellEnd"/>
      <w:r>
        <w:t xml:space="preserve"> (L.) L.Rico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America."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de Wit 1961: 54): "Habitat in America" (L, Herb. A. van Royen s.n., sheet no. 908.132-54)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210); Jarvis (2007: 675)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