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barahonensis</w:t>
      </w:r>
      <w:r>
        <w:t xml:space="preserve"> Urb. &amp; Ekman</w:t>
      </w:r>
      <w:r w:rsidR="00780DEE" w:rsidRPr="00780DEE">
        <w:rPr>
          <w:i/>
        </w:rPr>
        <w:t xml:space="preserve"> Ark. Bot.</w:t>
      </w:r>
      <w:proofErr w:type="spellStart"/>
      <w:r w:rsidR="00780DEE">
        <w:t xml:space="preserve"> 22a(8):29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barahonensis</w:t>
      </w:r>
      <w:proofErr w:type="spellEnd"/>
      <w:r>
        <w:t xml:space="preserve"> (Urb. &amp; Ekman)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Dominican Republic. Barahona Province: path between Couève-en-Haut and Trujín, quaternary limestone, 22 Sep. 1926, E.L. Ekman 7043 (B - destroyed?); isotype: S</w:t>
      </w:r>
      <w:proofErr w:type="spellEnd"/>
      <w:r w:rsidRPr="009A6983">
        <w:rPr>
          <w:b/>
        </w:rPr>
        <w:t xml:space="preserve"> Source:</w:t>
      </w:r>
      <w:r>
        <w:t xml:space="preserve"> Clarke et al. (2009: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