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Acaciella submontana</w:t>
      </w:r>
      <w:r>
        <w:t xml:space="preserve"> Britton &amp; Rose</w:t>
      </w:r>
      <w:r w:rsidR="00780DEE" w:rsidRPr="00780DEE">
        <w:rPr>
          <w:i/>
        </w:rPr>
        <w:t xml:space="preserve"> N. Amer. Fl</w:t>
      </w:r>
      <w:proofErr w:type="spellStart"/>
      <w:r w:rsidR="00780DEE">
        <w:t xml:space="preserve"> 23:103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 (2006: 221)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painteri</w:t>
      </w:r>
      <w:proofErr w:type="spellEnd"/>
      <w:r>
        <w:t xml:space="preserve"> (Britton &amp; Rose) L.Rico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Nayarit, Mpio. Tepic, near San Blasito [20º 40’N, 104º 16’W], 4 Aug. 1897, J.N. Rose 3345 (NY); isotype, US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221)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