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painteri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Jalisco, near Guadalajara, 28 Sep. 1903, J.N. Rose &amp; J.H. Painter 7388 (US); isotype: NY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219)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(var.houghii, var.painteri)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painteri</w:t>
      </w:r>
      <w:r>
        <w:t xml:space="preserve"> (Britton &amp; Rose) L.Rico</w:t>
      </w:r>
      <w:r>
        <w:t xml:space="preserve">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painteri</w:t>
      </w:r>
      <w:r>
        <w:t xml:space="preserve"> (Britton &amp; Rose)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58:281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painteri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painteri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