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eliasiana</w:t>
      </w:r>
      <w:r>
        <w:t xml:space="preserve"> (Britton &amp; Killip) Standl.</w:t>
      </w:r>
      <w:r w:rsidR="00780DEE" w:rsidRPr="00780DEE">
        <w:rPr>
          <w:i/>
        </w:rPr>
        <w:t xml:space="preserve"> Trop. Woods</w:t>
      </w:r>
      <w:proofErr w:type="spellStart"/>
      <w:r w:rsidR="00780DEE">
        <w:t xml:space="preserve"> 52:27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riparia</w:t>
      </w:r>
      <w:proofErr w:type="spellEnd"/>
      <w:r>
        <w:t xml:space="preserve"> (Kunth)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80). Originally published as 'eliasana'.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eliasiana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