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subsessilis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Hidalgo. Ixmiquilpan, 1905, J.N. Rose, J.H. Painter, &amp; J.S. Rose 8926 (US, MEXU - photo, NY - photo); isotypes: K, NY -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73)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amabilis</w:t>
      </w:r>
      <w:r>
        <w:t xml:space="preserve"> L.Rico</w:t>
      </w:r>
      <w:r>
        <w:t xml:space="preserve"> (2005)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amabilis</w:t>
      </w:r>
      <w:r>
        <w:t xml:space="preserve"> L.Rico</w:t>
      </w:r>
      <w:r w:rsidR="00780DEE" w:rsidRPr="00780DEE">
        <w:rPr>
          <w:i/>
        </w:rPr>
        <w:t xml:space="preserve"> Acta Bot. Mex.</w:t>
      </w:r>
      <w:proofErr w:type="spellStart"/>
      <w:r w:rsidR="00780DEE">
        <w:t xml:space="preserve"> 71:91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subsessilis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40-42). A substitute name since Acacia subsessilis A.R.Chapm. &amp; Maslin (1999) has priority.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subsessilis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