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wrightii</w:t>
      </w:r>
      <w:r>
        <w:t xml:space="preserve"> Benth.</w:t>
      </w:r>
      <w:r w:rsidR="00780DEE" w:rsidRPr="00780DEE">
        <w:rPr>
          <w:i/>
        </w:rPr>
        <w:t xml:space="preserve"> in A.Gray, Pl. Wright.</w:t>
      </w:r>
      <w:proofErr w:type="spellStart"/>
      <w:r w:rsidR="00780DEE">
        <w:t xml:space="preserve"> 1:64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wrightii</w:t>
      </w:r>
      <w:proofErr w:type="spellEnd"/>
      <w:r>
        <w:t xml:space="preserve"> (Benth.)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USA, Texas. Expedition from Western Texas to El Paso, New Mexico, hills of Rio Grande and east to San Antonio, May-Oct. 1849, C. Wright 173 (GH); isotypes: NY, US</w:t>
      </w:r>
      <w:proofErr w:type="spellEnd"/>
      <w:r w:rsidRPr="009A6983">
        <w:rPr>
          <w:b/>
        </w:rPr>
        <w:t xml:space="preserve"> Source:</w:t>
      </w:r>
      <w:r>
        <w:t xml:space="preserve"> Seigler et al. (2006: 79)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