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muricata</w:t>
      </w:r>
      <w:r>
        <w:t xml:space="preserve"> (L.)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muricata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