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micrantha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micrantha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micrantha</w:t>
      </w:r>
      <w:r>
        <w:t xml:space="preserve">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parviflora</w:t>
      </w:r>
      <w:r>
        <w:t xml:space="preserve"> Little</w:t>
      </w:r>
      <w:r>
        <w:t xml:space="preserve"> (1959)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micrantha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30:526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micrantha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2006: 58): Mexico. Tamaulipas: between Las Apuntas and Las Verdosas, Herbarium Berlandierum Texano-Mexicanum, M.Berlandier 3148 (K); isotypes: MO, NY. Remaining syntype: C.A.Ehrenberg s.n. B (but probably destroyed)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Interpreted by Seigler et al. (2006: 58) as an illegitimate name, non Desv. (1814), however Desvaux's name is spelled Acacia microcantha, not micrantha. Hamilton, in Prodr. Pl. Ind. Occid. (1825: 60), spelled Desvaux's name as Acacia micrantha, but this irepresents an orthographic variant, and there is no justification of changing the spelling from that which Desvaux published.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parviflora</w:t>
      </w:r>
      <w:r>
        <w:t xml:space="preserve"> Little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6:506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micrantha</w:t>
      </w:r>
      <w:proofErr w:type="spellEnd"/>
      <w:r>
        <w:t xml:space="preserve"> (Benth.)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Little proposed this as a replacement name for Acacia micrantha Benth., believing that Bentham's name was illegitimate, non Desv. ex Ham (1825). Hamilton's spelling is an orthographic variant of Acacia microcantha Desv.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micrantha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