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parviflora</w:t>
      </w:r>
      <w:r>
        <w:t xml:space="preserve"> Little</w:t>
      </w:r>
      <w:r w:rsidR="00780DEE" w:rsidRPr="00780DEE">
        <w:rPr>
          <w:i/>
        </w:rPr>
        <w:t xml:space="preserve"> Phytologia</w:t>
      </w:r>
      <w:proofErr w:type="spellStart"/>
      <w:r w:rsidR="00780DEE">
        <w:t xml:space="preserve"> 6:506</w:t>
      </w:r>
      <w:proofErr w:type="spellEnd"/>
      <w:r w:rsidR="00780DEE">
        <w:t xml:space="preserve"> (1959)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(superfluous)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micrantha</w:t>
      </w:r>
      <w:proofErr w:type="spellEnd"/>
      <w:r>
        <w:t xml:space="preserve"> (Benth.) Britton &amp; Rose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Little proposed this as a replacement name for Acacia micrantha Benth., believing that Bentham's name was illegitimate, non Desv. ex Ham (1825). Hamilton's spelling is an orthographic variant of Acacia microcantha Desv.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micrantha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