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bambolah</w:t>
      </w:r>
      <w:r>
        <w:t xml:space="preserve"> H.Karst.</w:t>
      </w:r>
      <w:r w:rsidR="00780DEE" w:rsidRPr="00780DEE">
        <w:rPr>
          <w:i/>
        </w:rPr>
        <w:t xml:space="preserve"> Deut. Fl.</w:t>
      </w:r>
      <w:proofErr w:type="spellStart"/>
      <w:r w:rsidR="00780DEE">
        <w:t xml:space="preserve"> :721</w:t>
      </w:r>
      <w:proofErr w:type="spellEnd"/>
      <w:r w:rsidR="00780DEE">
        <w:t xml:space="preserve"> (1882)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Kartsen credits Roxburg for the epithet, but we have not been able to find any reference to a matching or similar name in Roxburg's publication. However, the name appears to be in current, informal, use in India, appearing on websites relating to herbal medicine. The International Plant Name Index (IPNI) gives Deutch Fl. ed. 2, 2: 278 (1894) as the source for the name, but it appears in the first edition referenced here.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