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Hochst. ex A.Rich.</w:t>
      </w:r>
      <w:r w:rsidR="00780DEE" w:rsidRPr="00780DEE">
        <w:rPr>
          <w:i/>
        </w:rPr>
        <w:t xml:space="preserve"> Fl. Forest. Soud.-Guin.</w:t>
      </w:r>
      <w:proofErr w:type="spellStart"/>
      <w:r w:rsidR="00780DEE">
        <w:t xml:space="preserve"> :275</w:t>
      </w:r>
      <w:proofErr w:type="spellEnd"/>
      <w:r w:rsidR="00780DEE">
        <w:t xml:space="preserve"> (1950)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stenocarpa var. chariensis (A.Chev.) Aubrév.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