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pendula</w:t>
      </w:r>
      <w:proofErr w:type="spellEnd"/>
      <w:r>
        <w:t xml:space="preserve"> A.Cunn. ex G.Don</w:t>
      </w:r>
      <w:r w:rsidR="00780DEE" w:rsidRPr="00780DEE">
        <w:rPr>
          <w:i/>
        </w:rPr>
        <w:t xml:space="preserve"> Wattles and wattle-barks</w:t>
      </w:r>
      <w:proofErr w:type="spellStart"/>
      <w:r w:rsidR="00780DEE">
        <w:t xml:space="preserve"> :25</w:t>
      </w:r>
      <w:proofErr w:type="spellEnd"/>
      <w:r w:rsidR="00780DEE">
        <w:t xml:space="preserve"> (1890)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pendula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pendula var. glabrata F.Muell. ex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