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macracantha</w:t>
      </w:r>
      <w:proofErr w:type="spellEnd"/>
      <w:r>
        <w:t xml:space="preserve"> Humb. &amp; Bonpl. ex Willd.</w:t>
      </w:r>
      <w:r w:rsidR="00780DEE" w:rsidRPr="00780DEE">
        <w:rPr>
          <w:i/>
        </w:rPr>
        <w:t xml:space="preserve"> Fl. Brit. W. I.</w:t>
      </w:r>
      <w:proofErr w:type="spellStart"/>
      <w:r w:rsidR="00780DEE">
        <w:t xml:space="preserve"> :222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macracantha var. glabrescens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