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longissima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longissima</w:t>
      </w:r>
      <w:proofErr w:type="spellEnd"/>
      <w:r>
        <w:t xml:space="preserve"> H.L.Wendl.</w:t>
      </w:r>
      <w:r w:rsidR="00780DEE" w:rsidRPr="00780DEE">
        <w:rPr>
          <w:i/>
        </w:rPr>
        <w:t xml:space="preserve"> Ann. Fl. Pomone</w:t>
      </w:r>
      <w:proofErr w:type="spellStart"/>
      <w:r w:rsidR="00780DEE">
        <w:t xml:space="preserve"> 1837-1838:43</w:t>
      </w:r>
      <w:proofErr w:type="spellEnd"/>
      <w:r w:rsidR="00780DEE">
        <w:t xml:space="preserve"> (1837)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longissima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H.L.Wendl.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longissima var. glauca hort. ex Jacques.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