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rutaefolia</w:t>
      </w:r>
      <w:r>
        <w:t xml:space="preserve"> Aiton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1:8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attributes this name to Aiton, with the basionym given as Mimosa rutaefolia Hort. and a reference to De Candolle's Prodromus 235. This reference is to Acacia sp. no 235, A? rutaefolia (Link enum. 2 p. 444). Acacia rutaefolia Link is now considered to be a synonym of Acacia nigricans.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