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sandra</w:t>
      </w:r>
      <w:r>
        <w:t xml:space="preserve"> (Roxb.) Bedd.</w:t>
      </w:r>
      <w:r w:rsidR="00780DEE" w:rsidRPr="00780DEE">
        <w:rPr>
          <w:i/>
        </w:rPr>
        <w:t xml:space="preserve"> Fl. Sylv. S. India</w:t>
      </w:r>
      <w:proofErr w:type="spellStart"/>
      <w:r w:rsidR="00780DEE">
        <w:t xml:space="preserve"> 1:50</w:t>
      </w:r>
      <w:proofErr w:type="spellEnd"/>
      <w:r w:rsidR="00780DEE">
        <w:t xml:space="preserve"> (1869)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chundra</w:t>
      </w:r>
      <w:proofErr w:type="spellEnd"/>
      <w:r>
        <w:t xml:space="preserve"> (Roxb. ex Rottler)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Beddome based his name on Mimosa sundra Roxb., which he spelled Mimosa sandra. As Acacia sundra this is an isonym, the combination having already been made by de Candolle (1825).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sundra</w:t>
      </w:r>
      <w:r>
        <w:t xml:space="preserve"> Roxb.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