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pseudowightii</w:t>
      </w:r>
      <w:r>
        <w:t xml:space="preserve"> (Thoth.) A.Deshp. &amp; Maslin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37(4):14</w:t>
      </w:r>
      <w:proofErr w:type="spellEnd"/>
      <w:r w:rsidR="00780DEE">
        <w:t xml:space="preserve"> (29 Apr. 2019)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pseudowightii</w:t>
      </w:r>
      <w:proofErr w:type="spellEnd"/>
      <w:r>
        <w:t xml:space="preserve"> (Thoth.) Kottaim.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Kumar and Sane (2003) treated this name as conspecific with Acacia (Vachellia) eburnea, but it is recognized as a distinct species in Deshpande et al. (2019: 14).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