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macmurphyi</w:t>
      </w:r>
      <w:r>
        <w:t xml:space="preserve">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3:68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goldmanii</w:t>
      </w:r>
      <w:proofErr w:type="spellEnd"/>
      <w:r>
        <w:t xml:space="preserve">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California., 3-4 mi. north of Comondu, 26-IV-1931, Wiggins 5477 (DS, MEXU - photo)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