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angustissima</w:t>
      </w:r>
      <w:proofErr w:type="spellEnd"/>
      <w:r>
        <w:t xml:space="preserve"> (Mill.) Kuntze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3:229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(Mill.)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angustissima subsp. lemmonii &amp; subsp. smithii by Wiggins 1942.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