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magnibracteosa</w:t>
      </w:r>
      <w:r>
        <w:t xml:space="preserve"> Burkart</w:t>
      </w:r>
      <w:r w:rsidR="00780DEE" w:rsidRPr="00780DEE">
        <w:rPr>
          <w:i/>
        </w:rPr>
        <w:t xml:space="preserve"> Fl. Ilustr. Catarin. (Leguminosas: Mimosoideas)</w:t>
      </w:r>
      <w:proofErr w:type="spellStart"/>
      <w:r w:rsidR="00780DEE">
        <w:t xml:space="preserve"> :41</w:t>
      </w:r>
      <w:proofErr w:type="spellEnd"/>
      <w:r w:rsidR="00780DEE">
        <w:t xml:space="preserve"> (1979)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56)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magnibracteosa</w:t>
      </w:r>
      <w:proofErr w:type="spellEnd"/>
      <w:r>
        <w:t xml:space="preserve"> (Burkart)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Brazil. Rio Grande Do Sul. São Francisco de Paula, Vila Oliva, in araucarieto, 7 Jan. 1946, B. Rambo 30749 (SI); isotypes: PACA</w:t>
      </w:r>
      <w:proofErr w:type="spellEnd"/>
      <w:r w:rsidRPr="009A6983">
        <w:rPr>
          <w:b/>
        </w:rPr>
        <w:t xml:space="preserve"> Source:</w:t>
      </w:r>
      <w:r>
        <w:t xml:space="preserve"> Seigler et al. (2006: 56-57)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