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pruinescens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luchunensis</w:t>
      </w:r>
      <w:proofErr w:type="spellEnd"/>
      <w:r>
        <w:t xml:space="preserve"> (C.Chen &amp; H.Sun) X.Y.Zhu</w:t>
      </w:r>
      <w:r w:rsidR="00780DEE" w:rsidRPr="00780DEE">
        <w:rPr>
          <w:i/>
        </w:rPr>
        <w:t xml:space="preserve"> Biodivers. Sci.</w:t>
      </w:r>
      <w:proofErr w:type="spellStart"/>
      <w:r w:rsidR="00780DEE">
        <w:t xml:space="preserve"> 23(2):249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433)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pruinescens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(Kurz)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pruinescens</w:t>
      </w:r>
      <w:r>
        <w:t xml:space="preserve"> var.</w:t>
      </w:r>
      <w:r w:rsidRPr="00815E7D">
        <w:rPr>
          <w:i/>
        </w:rPr>
        <w:t xml:space="preserve"> luchunensis</w:t>
      </w:r>
      <w:r>
        <w:t xml:space="preserve"> C.Chen &amp; H.Sun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