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contimea</w:t>
      </w:r>
      <w:r>
        <w:t xml:space="preserve"> Chrakab. &amp; M.G.Gangop.</w:t>
      </w:r>
      <w:r w:rsidR="00780DEE" w:rsidRPr="00780DEE">
        <w:rPr>
          <w:i/>
        </w:rPr>
        <w:t xml:space="preserve"> J. Econ. Taxon. Bot.</w:t>
      </w:r>
      <w:proofErr w:type="spellStart"/>
      <w:r w:rsidR="00780DEE">
        <w:t xml:space="preserve"> 20(3):629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continua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for Acacia continua.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