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trisperma</w:t>
      </w:r>
      <w:r>
        <w:t xml:space="preserve"> (Vell.) Mart.</w:t>
      </w:r>
      <w:r w:rsidR="00780DEE" w:rsidRPr="00780DEE">
        <w:rPr>
          <w:i/>
        </w:rPr>
        <w:t xml:space="preserve"> Flora</w:t>
      </w:r>
      <w:proofErr w:type="spellStart"/>
      <w:r w:rsidR="00780DEE">
        <w:t xml:space="preserve"> 20(2):108</w:t>
      </w:r>
      <w:proofErr w:type="spellEnd"/>
      <w:r w:rsidR="00780DEE">
        <w:t xml:space="preserve"> (1837)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Piptadenia trisperma</w:t>
      </w:r>
      <w:proofErr w:type="spellEnd"/>
      <w:r>
        <w:t xml:space="preserve"> (Vell.)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trisperma</w:t>
      </w:r>
      <w:r>
        <w:t xml:space="preserve"> Vell.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