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langsdorffii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armata</w:t>
      </w:r>
      <w:proofErr w:type="spellEnd"/>
      <w:r>
        <w:t xml:space="preserve"> Speg. ex Barroso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18:122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langsdorffii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2007: 112): Brazil. Rio de Janeiro: "Guanabara. Mata proximo do Horto Florestal," A. Ducke &amp; Kuhlmann 683 (K [bc] K 000503057); isolectotype: RB</w:t>
      </w:r>
      <w:proofErr w:type="spellEnd"/>
      <w:r w:rsidRPr="009A6983">
        <w:rPr>
          <w:b/>
        </w:rPr>
        <w:t xml:space="preserve"> Source:</w:t>
      </w:r>
      <w:r>
        <w:t xml:space="preserve"> Rico Arce (2007: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