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hydaspica</w:t>
      </w:r>
      <w:r>
        <w:t xml:space="preserve"> (J.R.Drumm. ex R.Parker)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162(3):176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hydaspica</w:t>
      </w:r>
      <w:proofErr w:type="spellEnd"/>
      <w:r>
        <w:t xml:space="preserve"> (J.R.Drumm. ex R.Parker) Ali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hydaspica</w:t>
      </w:r>
      <w:r>
        <w:t xml:space="preserve"> J.R.Drumm. ex R.Parker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