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prasinata</w:t>
      </w:r>
      <w:r>
        <w:t xml:space="preserve"> Hunde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2(4):341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prasinata</w:t>
      </w:r>
      <w:proofErr w:type="spellEnd"/>
      <w:r>
        <w:t xml:space="preserve"> (Hunde)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Shewa region, Awash Nat. Park, Thulin, Hunde &amp; Tadesse 3865 (UPS); isotypes: ETH, K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